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B294" w14:textId="77777777" w:rsidR="00DD4972" w:rsidRPr="00DD4972" w:rsidRDefault="00DD4972" w:rsidP="00DD4972">
      <w:pPr>
        <w:spacing w:after="0" w:line="240" w:lineRule="auto"/>
        <w:jc w:val="right"/>
        <w:rPr>
          <w:rFonts w:ascii="Archivo Light" w:eastAsia="Calibri" w:hAnsi="Archivo Light" w:cs="Archivo Light"/>
          <w:b/>
          <w:kern w:val="0"/>
          <w:sz w:val="22"/>
          <w:szCs w:val="22"/>
          <w:lang w:val="lt-LT"/>
          <w14:ligatures w14:val="none"/>
        </w:rPr>
      </w:pPr>
      <w:r w:rsidRPr="00DD4972">
        <w:rPr>
          <w:rFonts w:ascii="Archivo Light" w:eastAsia="Calibri" w:hAnsi="Archivo Light" w:cs="Archivo Light"/>
          <w:b/>
          <w:kern w:val="0"/>
          <w:sz w:val="22"/>
          <w:szCs w:val="22"/>
          <w:lang w:val="lt-LT"/>
          <w14:ligatures w14:val="none"/>
        </w:rPr>
        <w:t>3 PRIEDAS</w:t>
      </w:r>
    </w:p>
    <w:p w14:paraId="1027BE32" w14:textId="77777777" w:rsidR="00DD4972" w:rsidRPr="00DD4972" w:rsidRDefault="00DD4972" w:rsidP="00DD4972">
      <w:pPr>
        <w:spacing w:after="0" w:line="240" w:lineRule="auto"/>
        <w:jc w:val="right"/>
        <w:rPr>
          <w:rFonts w:ascii="Archivo Light" w:eastAsia="Calibri" w:hAnsi="Archivo Light" w:cs="Archivo Light"/>
          <w:b/>
          <w:bCs/>
          <w:kern w:val="0"/>
          <w:sz w:val="22"/>
          <w:szCs w:val="22"/>
          <w:lang w:val="lt-LT"/>
          <w14:ligatures w14:val="none"/>
        </w:rPr>
      </w:pPr>
    </w:p>
    <w:p w14:paraId="5FB84354" w14:textId="77777777" w:rsidR="00DD4972" w:rsidRPr="00DD4972" w:rsidRDefault="00DD4972" w:rsidP="00DD4972">
      <w:pPr>
        <w:spacing w:after="0" w:line="240" w:lineRule="auto"/>
        <w:ind w:left="720"/>
        <w:contextualSpacing/>
        <w:jc w:val="center"/>
        <w:rPr>
          <w:rFonts w:ascii="Archivo Light" w:eastAsia="Times New Roman" w:hAnsi="Archivo Light" w:cs="Archivo Light"/>
          <w:b/>
          <w:bCs/>
          <w:color w:val="FF0000"/>
          <w:kern w:val="0"/>
          <w:sz w:val="22"/>
          <w:szCs w:val="22"/>
          <w:lang w:val="x-none"/>
          <w14:ligatures w14:val="none"/>
        </w:rPr>
      </w:pPr>
      <w:proofErr w:type="spellStart"/>
      <w:r w:rsidRPr="00DD4972">
        <w:rPr>
          <w:rFonts w:ascii="Archivo Light" w:eastAsia="Times New Roman" w:hAnsi="Archivo Light" w:cs="Archivo Light"/>
          <w:b/>
          <w:bCs/>
          <w:kern w:val="0"/>
          <w:sz w:val="22"/>
          <w:szCs w:val="22"/>
          <w:lang w:val="x-none"/>
          <w14:ligatures w14:val="none"/>
        </w:rPr>
        <w:t>Reikalavimai</w:t>
      </w:r>
      <w:proofErr w:type="spellEnd"/>
      <w:r w:rsidRPr="00DD4972">
        <w:rPr>
          <w:rFonts w:ascii="Archivo Light" w:eastAsia="Times New Roman" w:hAnsi="Archivo Light" w:cs="Archivo Light"/>
          <w:b/>
          <w:bCs/>
          <w:kern w:val="0"/>
          <w:sz w:val="22"/>
          <w:szCs w:val="22"/>
          <w:lang w:val="x-none"/>
          <w14:ligatures w14:val="none"/>
        </w:rPr>
        <w:t xml:space="preserve"> </w:t>
      </w:r>
      <w:proofErr w:type="spellStart"/>
      <w:r w:rsidRPr="00DD4972">
        <w:rPr>
          <w:rFonts w:ascii="Archivo Light" w:eastAsia="Times New Roman" w:hAnsi="Archivo Light" w:cs="Archivo Light"/>
          <w:b/>
          <w:bCs/>
          <w:kern w:val="0"/>
          <w:sz w:val="22"/>
          <w:szCs w:val="22"/>
          <w:lang w:val="x-none"/>
          <w14:ligatures w14:val="none"/>
        </w:rPr>
        <w:t>sutarties</w:t>
      </w:r>
      <w:proofErr w:type="spellEnd"/>
      <w:r w:rsidRPr="00DD4972">
        <w:rPr>
          <w:rFonts w:ascii="Archivo Light" w:eastAsia="Times New Roman" w:hAnsi="Archivo Light" w:cs="Archivo Light"/>
          <w:b/>
          <w:bCs/>
          <w:kern w:val="0"/>
          <w:sz w:val="22"/>
          <w:szCs w:val="22"/>
          <w:lang w:val="x-none"/>
          <w14:ligatures w14:val="none"/>
        </w:rPr>
        <w:t xml:space="preserve"> (</w:t>
      </w:r>
      <w:proofErr w:type="spellStart"/>
      <w:r w:rsidRPr="00DD4972">
        <w:rPr>
          <w:rFonts w:ascii="Archivo Light" w:eastAsia="Times New Roman" w:hAnsi="Archivo Light" w:cs="Archivo Light"/>
          <w:b/>
          <w:bCs/>
          <w:kern w:val="0"/>
          <w:sz w:val="22"/>
          <w:szCs w:val="22"/>
          <w:lang w:val="x-none"/>
          <w14:ligatures w14:val="none"/>
        </w:rPr>
        <w:t>paslaugų</w:t>
      </w:r>
      <w:proofErr w:type="spellEnd"/>
      <w:r w:rsidRPr="00DD4972">
        <w:rPr>
          <w:rFonts w:ascii="Archivo Light" w:eastAsia="Times New Roman" w:hAnsi="Archivo Light" w:cs="Archivo Light"/>
          <w:b/>
          <w:bCs/>
          <w:kern w:val="0"/>
          <w:sz w:val="22"/>
          <w:szCs w:val="22"/>
          <w:lang w:val="x-none"/>
          <w14:ligatures w14:val="none"/>
        </w:rPr>
        <w:t xml:space="preserve"> </w:t>
      </w:r>
      <w:proofErr w:type="spellStart"/>
      <w:r w:rsidRPr="00DD4972">
        <w:rPr>
          <w:rFonts w:ascii="Archivo Light" w:eastAsia="Times New Roman" w:hAnsi="Archivo Light" w:cs="Archivo Light"/>
          <w:b/>
          <w:bCs/>
          <w:kern w:val="0"/>
          <w:sz w:val="22"/>
          <w:szCs w:val="22"/>
          <w:lang w:val="x-none"/>
          <w14:ligatures w14:val="none"/>
        </w:rPr>
        <w:t>teikimo</w:t>
      </w:r>
      <w:proofErr w:type="spellEnd"/>
      <w:r w:rsidRPr="00DD4972">
        <w:rPr>
          <w:rFonts w:ascii="Archivo Light" w:eastAsia="Times New Roman" w:hAnsi="Archivo Light" w:cs="Archivo Light"/>
          <w:b/>
          <w:bCs/>
          <w:kern w:val="0"/>
          <w:sz w:val="22"/>
          <w:szCs w:val="22"/>
          <w:lang w:val="x-none"/>
          <w14:ligatures w14:val="none"/>
        </w:rPr>
        <w:t xml:space="preserve">) </w:t>
      </w:r>
      <w:proofErr w:type="spellStart"/>
      <w:r w:rsidRPr="00DD4972">
        <w:rPr>
          <w:rFonts w:ascii="Archivo Light" w:eastAsia="Times New Roman" w:hAnsi="Archivo Light" w:cs="Archivo Light"/>
          <w:b/>
          <w:bCs/>
          <w:kern w:val="0"/>
          <w:sz w:val="22"/>
          <w:szCs w:val="22"/>
          <w:lang w:val="x-none"/>
          <w14:ligatures w14:val="none"/>
        </w:rPr>
        <w:t>įvykdymo</w:t>
      </w:r>
      <w:proofErr w:type="spellEnd"/>
      <w:r w:rsidRPr="00DD4972">
        <w:rPr>
          <w:rFonts w:ascii="Archivo Light" w:eastAsia="Times New Roman" w:hAnsi="Archivo Light" w:cs="Archivo Light"/>
          <w:b/>
          <w:bCs/>
          <w:kern w:val="0"/>
          <w:sz w:val="22"/>
          <w:szCs w:val="22"/>
          <w:lang w:val="x-none"/>
          <w14:ligatures w14:val="none"/>
        </w:rPr>
        <w:t xml:space="preserve"> </w:t>
      </w:r>
      <w:proofErr w:type="spellStart"/>
      <w:r w:rsidRPr="00DD4972">
        <w:rPr>
          <w:rFonts w:ascii="Archivo Light" w:eastAsia="Times New Roman" w:hAnsi="Archivo Light" w:cs="Archivo Light"/>
          <w:b/>
          <w:bCs/>
          <w:kern w:val="0"/>
          <w:sz w:val="22"/>
          <w:szCs w:val="22"/>
          <w:lang w:val="x-none"/>
          <w14:ligatures w14:val="none"/>
        </w:rPr>
        <w:t>užtikrinimui</w:t>
      </w:r>
      <w:proofErr w:type="spellEnd"/>
    </w:p>
    <w:p w14:paraId="3AFBCC13" w14:textId="77777777" w:rsidR="00DD4972" w:rsidRPr="00DD4972" w:rsidRDefault="00DD4972" w:rsidP="00DD4972">
      <w:pPr>
        <w:spacing w:after="0" w:line="240" w:lineRule="auto"/>
        <w:ind w:left="720"/>
        <w:contextualSpacing/>
        <w:jc w:val="both"/>
        <w:rPr>
          <w:rFonts w:ascii="Archivo Light" w:eastAsia="Times New Roman" w:hAnsi="Archivo Light" w:cs="Archivo Light"/>
          <w:b/>
          <w:bCs/>
          <w:kern w:val="0"/>
          <w:sz w:val="22"/>
          <w:szCs w:val="22"/>
          <w:lang w:val="x-none"/>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997"/>
      </w:tblGrid>
      <w:tr w:rsidR="00DD4972" w:rsidRPr="00DD4972" w14:paraId="60C5B9DD" w14:textId="77777777" w:rsidTr="006076CC">
        <w:trPr>
          <w:jc w:val="center"/>
        </w:trPr>
        <w:tc>
          <w:tcPr>
            <w:tcW w:w="2694" w:type="dxa"/>
            <w:vAlign w:val="center"/>
          </w:tcPr>
          <w:p w14:paraId="68D0D795" w14:textId="77777777" w:rsidR="00DD4972" w:rsidRPr="00DD4972" w:rsidRDefault="00DD4972" w:rsidP="00DD4972">
            <w:pPr>
              <w:spacing w:after="0" w:line="240" w:lineRule="auto"/>
              <w:jc w:val="both"/>
              <w:rPr>
                <w:rFonts w:ascii="Archivo Light" w:eastAsia="Calibri" w:hAnsi="Archivo Light" w:cs="Archivo Light"/>
                <w:b/>
                <w:bCs/>
                <w:kern w:val="0"/>
                <w:sz w:val="20"/>
                <w:szCs w:val="20"/>
                <w:lang w:val="lt-LT"/>
                <w14:ligatures w14:val="none"/>
              </w:rPr>
            </w:pPr>
            <w:r w:rsidRPr="00DD4972">
              <w:rPr>
                <w:rFonts w:ascii="Archivo Light" w:eastAsia="Calibri" w:hAnsi="Archivo Light" w:cs="Archivo Light"/>
                <w:b/>
                <w:bCs/>
                <w:kern w:val="0"/>
                <w:sz w:val="20"/>
                <w:szCs w:val="20"/>
                <w:lang w:val="lt-LT"/>
                <w14:ligatures w14:val="none"/>
              </w:rPr>
              <w:t>1.</w:t>
            </w:r>
            <w:r w:rsidRPr="00DD4972">
              <w:rPr>
                <w:rFonts w:ascii="Archivo Light" w:eastAsia="Calibri" w:hAnsi="Archivo Light" w:cs="Archivo Light"/>
                <w:kern w:val="0"/>
                <w:sz w:val="20"/>
                <w:szCs w:val="20"/>
                <w:lang w:val="lt-LT"/>
                <w14:ligatures w14:val="none"/>
              </w:rPr>
              <w:t xml:space="preserve"> </w:t>
            </w:r>
            <w:r w:rsidRPr="00DD4972">
              <w:rPr>
                <w:rFonts w:ascii="Archivo Light" w:eastAsia="Calibri" w:hAnsi="Archivo Light" w:cs="Archivo Light"/>
                <w:b/>
                <w:bCs/>
                <w:kern w:val="0"/>
                <w:sz w:val="20"/>
                <w:szCs w:val="20"/>
                <w:lang w:val="lt-LT"/>
                <w14:ligatures w14:val="none"/>
              </w:rPr>
              <w:t xml:space="preserve">Priimtinas būdas </w:t>
            </w:r>
          </w:p>
          <w:p w14:paraId="2EEB5170"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b/>
                <w:bCs/>
                <w:kern w:val="0"/>
                <w:sz w:val="20"/>
                <w:szCs w:val="20"/>
                <w:lang w:val="lt-LT"/>
                <w14:ligatures w14:val="none"/>
              </w:rPr>
              <w:t>(vienas iš nurodytų)</w:t>
            </w:r>
            <w:r w:rsidRPr="00DD4972">
              <w:rPr>
                <w:rFonts w:ascii="Archivo Light" w:eastAsia="Calibri" w:hAnsi="Archivo Light" w:cs="Archivo Light"/>
                <w:kern w:val="0"/>
                <w:sz w:val="20"/>
                <w:szCs w:val="20"/>
                <w:lang w:val="lt-LT"/>
                <w14:ligatures w14:val="none"/>
              </w:rPr>
              <w:t xml:space="preserve"> </w:t>
            </w:r>
          </w:p>
        </w:tc>
        <w:tc>
          <w:tcPr>
            <w:tcW w:w="7223" w:type="dxa"/>
            <w:vAlign w:val="center"/>
          </w:tcPr>
          <w:p w14:paraId="149FF528"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1. banko išduota garantija (reikalavimas dokumentą išduodančiam bankui (ar jį patronuojančiam bankui) – turėti ne mažesnį ilgalaikio skolinimosi kredito reitingą kaip Standard &amp; </w:t>
            </w:r>
            <w:proofErr w:type="spellStart"/>
            <w:r w:rsidRPr="00DD4972">
              <w:rPr>
                <w:rFonts w:ascii="Archivo Light" w:eastAsia="Calibri" w:hAnsi="Archivo Light" w:cs="Archivo Light"/>
                <w:kern w:val="0"/>
                <w:sz w:val="20"/>
                <w:szCs w:val="20"/>
                <w:lang w:val="lt-LT"/>
                <w14:ligatures w14:val="none"/>
              </w:rPr>
              <w:t>Poor‘s</w:t>
            </w:r>
            <w:proofErr w:type="spellEnd"/>
            <w:r w:rsidRPr="00DD4972">
              <w:rPr>
                <w:rFonts w:ascii="Archivo Light" w:eastAsia="Calibri" w:hAnsi="Archivo Light" w:cs="Archivo Light"/>
                <w:kern w:val="0"/>
                <w:sz w:val="20"/>
                <w:szCs w:val="20"/>
                <w:lang w:val="lt-LT"/>
                <w14:ligatures w14:val="none"/>
              </w:rPr>
              <w:t xml:space="preserve"> – BBB+, ar </w:t>
            </w:r>
            <w:proofErr w:type="spellStart"/>
            <w:r w:rsidRPr="00DD4972">
              <w:rPr>
                <w:rFonts w:ascii="Archivo Light" w:eastAsia="Calibri" w:hAnsi="Archivo Light" w:cs="Archivo Light"/>
                <w:kern w:val="0"/>
                <w:sz w:val="20"/>
                <w:szCs w:val="20"/>
                <w:lang w:val="lt-LT"/>
                <w14:ligatures w14:val="none"/>
              </w:rPr>
              <w:t>Moody’s</w:t>
            </w:r>
            <w:proofErr w:type="spellEnd"/>
            <w:r w:rsidRPr="00DD4972">
              <w:rPr>
                <w:rFonts w:ascii="Archivo Light" w:eastAsia="Calibri" w:hAnsi="Archivo Light" w:cs="Archivo Light"/>
                <w:kern w:val="0"/>
                <w:sz w:val="20"/>
                <w:szCs w:val="20"/>
                <w:lang w:val="lt-LT"/>
                <w14:ligatures w14:val="none"/>
              </w:rPr>
              <w:t xml:space="preserve"> – Baa1, ar </w:t>
            </w:r>
            <w:proofErr w:type="spellStart"/>
            <w:r w:rsidRPr="00DD4972">
              <w:rPr>
                <w:rFonts w:ascii="Archivo Light" w:eastAsia="Calibri" w:hAnsi="Archivo Light" w:cs="Archivo Light"/>
                <w:kern w:val="0"/>
                <w:sz w:val="20"/>
                <w:szCs w:val="20"/>
                <w:lang w:val="lt-LT"/>
                <w14:ligatures w14:val="none"/>
              </w:rPr>
              <w:t>Fitch</w:t>
            </w:r>
            <w:proofErr w:type="spellEnd"/>
            <w:r w:rsidRPr="00DD4972">
              <w:rPr>
                <w:rFonts w:ascii="Archivo Light" w:eastAsia="Calibri" w:hAnsi="Archivo Light" w:cs="Archivo Light"/>
                <w:kern w:val="0"/>
                <w:sz w:val="20"/>
                <w:szCs w:val="20"/>
                <w:lang w:val="lt-LT"/>
                <w14:ligatures w14:val="none"/>
              </w:rPr>
              <w:t xml:space="preserve"> – BBB+). Patronuojantis bankas, kurio reitingais yra remiamasi, turi turėti ne mažiau 90 proc. dokumentą išduodančio banko akcijų;</w:t>
            </w:r>
          </w:p>
          <w:p w14:paraId="578CAD3D"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2. draudimo bendrovės išduotas laidavimas (reikalavimas dokumentą išduodančiai draudimo bendrovei ar jos pagrindiniam akcininkui (kuriam priklauso daugiau nei 50 proc. visų akcijų) – turėti ne mažesnį ilgalaikio skolinimosi kredito reitingą kaip Standard &amp; </w:t>
            </w:r>
            <w:proofErr w:type="spellStart"/>
            <w:r w:rsidRPr="00DD4972">
              <w:rPr>
                <w:rFonts w:ascii="Archivo Light" w:eastAsia="Calibri" w:hAnsi="Archivo Light" w:cs="Archivo Light"/>
                <w:kern w:val="0"/>
                <w:sz w:val="20"/>
                <w:szCs w:val="20"/>
                <w:lang w:val="lt-LT"/>
                <w14:ligatures w14:val="none"/>
              </w:rPr>
              <w:t>Poor‘s</w:t>
            </w:r>
            <w:proofErr w:type="spellEnd"/>
            <w:r w:rsidRPr="00DD4972">
              <w:rPr>
                <w:rFonts w:ascii="Archivo Light" w:eastAsia="Calibri" w:hAnsi="Archivo Light" w:cs="Archivo Light"/>
                <w:kern w:val="0"/>
                <w:sz w:val="20"/>
                <w:szCs w:val="20"/>
                <w:lang w:val="lt-LT"/>
                <w14:ligatures w14:val="none"/>
              </w:rPr>
              <w:t xml:space="preserve"> – BBB+, ar </w:t>
            </w:r>
            <w:proofErr w:type="spellStart"/>
            <w:r w:rsidRPr="00DD4972">
              <w:rPr>
                <w:rFonts w:ascii="Archivo Light" w:eastAsia="Calibri" w:hAnsi="Archivo Light" w:cs="Archivo Light"/>
                <w:kern w:val="0"/>
                <w:sz w:val="20"/>
                <w:szCs w:val="20"/>
                <w:lang w:val="lt-LT"/>
                <w14:ligatures w14:val="none"/>
              </w:rPr>
              <w:t>Moody’s</w:t>
            </w:r>
            <w:proofErr w:type="spellEnd"/>
            <w:r w:rsidRPr="00DD4972">
              <w:rPr>
                <w:rFonts w:ascii="Archivo Light" w:eastAsia="Calibri" w:hAnsi="Archivo Light" w:cs="Archivo Light"/>
                <w:kern w:val="0"/>
                <w:sz w:val="20"/>
                <w:szCs w:val="20"/>
                <w:lang w:val="lt-LT"/>
                <w14:ligatures w14:val="none"/>
              </w:rPr>
              <w:t xml:space="preserve"> – Baa1, ar </w:t>
            </w:r>
            <w:proofErr w:type="spellStart"/>
            <w:r w:rsidRPr="00DD4972">
              <w:rPr>
                <w:rFonts w:ascii="Archivo Light" w:eastAsia="Calibri" w:hAnsi="Archivo Light" w:cs="Archivo Light"/>
                <w:kern w:val="0"/>
                <w:sz w:val="20"/>
                <w:szCs w:val="20"/>
                <w:lang w:val="lt-LT"/>
                <w14:ligatures w14:val="none"/>
              </w:rPr>
              <w:t>Fitch</w:t>
            </w:r>
            <w:proofErr w:type="spellEnd"/>
            <w:r w:rsidRPr="00DD4972">
              <w:rPr>
                <w:rFonts w:ascii="Archivo Light" w:eastAsia="Calibri" w:hAnsi="Archivo Light" w:cs="Archivo Light"/>
                <w:kern w:val="0"/>
                <w:sz w:val="20"/>
                <w:szCs w:val="20"/>
                <w:lang w:val="lt-LT"/>
                <w14:ligatures w14:val="none"/>
              </w:rPr>
              <w:t xml:space="preserve"> – BBB+);</w:t>
            </w:r>
          </w:p>
          <w:p w14:paraId="4ADECF5B"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3. užstatas.</w:t>
            </w:r>
          </w:p>
        </w:tc>
      </w:tr>
      <w:tr w:rsidR="00DD4972" w:rsidRPr="00DD4972" w14:paraId="24AD0610" w14:textId="77777777" w:rsidTr="006076CC">
        <w:trPr>
          <w:jc w:val="center"/>
        </w:trPr>
        <w:tc>
          <w:tcPr>
            <w:tcW w:w="2694" w:type="dxa"/>
            <w:vAlign w:val="center"/>
          </w:tcPr>
          <w:p w14:paraId="1C782B07"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b/>
                <w:bCs/>
                <w:kern w:val="0"/>
                <w:sz w:val="20"/>
                <w:szCs w:val="20"/>
                <w:lang w:val="lt-LT"/>
                <w14:ligatures w14:val="none"/>
              </w:rPr>
              <w:t>2.</w:t>
            </w:r>
            <w:r w:rsidRPr="00DD4972">
              <w:rPr>
                <w:rFonts w:ascii="Archivo Light" w:eastAsia="Calibri" w:hAnsi="Archivo Light" w:cs="Archivo Light"/>
                <w:kern w:val="0"/>
                <w:sz w:val="20"/>
                <w:szCs w:val="20"/>
                <w:lang w:val="lt-LT"/>
                <w14:ligatures w14:val="none"/>
              </w:rPr>
              <w:t xml:space="preserve"> </w:t>
            </w:r>
            <w:r w:rsidRPr="00DD4972">
              <w:rPr>
                <w:rFonts w:ascii="Archivo Light" w:eastAsia="Calibri" w:hAnsi="Archivo Light" w:cs="Archivo Light"/>
                <w:b/>
                <w:kern w:val="0"/>
                <w:sz w:val="20"/>
                <w:szCs w:val="20"/>
                <w:lang w:val="lt-LT"/>
                <w14:ligatures w14:val="none"/>
              </w:rPr>
              <w:t>Sutarties įvykdymo užtikrinimo suma</w:t>
            </w:r>
            <w:r w:rsidRPr="00DD4972">
              <w:rPr>
                <w:rFonts w:ascii="Archivo Light" w:eastAsia="Calibri" w:hAnsi="Archivo Light" w:cs="Archivo Light"/>
                <w:kern w:val="0"/>
                <w:sz w:val="20"/>
                <w:szCs w:val="20"/>
                <w:lang w:val="lt-LT"/>
                <w14:ligatures w14:val="none"/>
              </w:rPr>
              <w:t xml:space="preserve"> </w:t>
            </w:r>
          </w:p>
        </w:tc>
        <w:tc>
          <w:tcPr>
            <w:tcW w:w="7223" w:type="dxa"/>
            <w:vAlign w:val="center"/>
          </w:tcPr>
          <w:p w14:paraId="491779EB"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10 proc. nuo pradinės sutarties vertės (jeigu perskaičiuojama pradinė sutarties vertė, turi būti pateikiamas sutarties įvykdymo užtikrinimo dokumentas perskaičiuotai užtikrinimo sumai).</w:t>
            </w:r>
          </w:p>
        </w:tc>
      </w:tr>
      <w:tr w:rsidR="00DD4972" w:rsidRPr="00DD4972" w14:paraId="5A51EA3F" w14:textId="77777777" w:rsidTr="006076CC">
        <w:trPr>
          <w:jc w:val="center"/>
        </w:trPr>
        <w:tc>
          <w:tcPr>
            <w:tcW w:w="2694" w:type="dxa"/>
            <w:vAlign w:val="center"/>
          </w:tcPr>
          <w:p w14:paraId="1CCE578D"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b/>
                <w:bCs/>
                <w:kern w:val="0"/>
                <w:sz w:val="20"/>
                <w:szCs w:val="20"/>
                <w:lang w:val="lt-LT"/>
                <w14:ligatures w14:val="none"/>
              </w:rPr>
              <w:t>3.</w:t>
            </w:r>
            <w:r w:rsidRPr="00DD4972">
              <w:rPr>
                <w:rFonts w:ascii="Archivo Light" w:eastAsia="Calibri" w:hAnsi="Archivo Light" w:cs="Archivo Light"/>
                <w:kern w:val="0"/>
                <w:sz w:val="20"/>
                <w:szCs w:val="20"/>
                <w:lang w:val="lt-LT"/>
                <w14:ligatures w14:val="none"/>
              </w:rPr>
              <w:t xml:space="preserve"> </w:t>
            </w:r>
            <w:r w:rsidRPr="00DD4972">
              <w:rPr>
                <w:rFonts w:ascii="Archivo Light" w:eastAsia="Calibri" w:hAnsi="Archivo Light" w:cs="Archivo Light"/>
                <w:b/>
                <w:kern w:val="0"/>
                <w:sz w:val="20"/>
                <w:szCs w:val="20"/>
                <w:lang w:val="lt-LT"/>
                <w14:ligatures w14:val="none"/>
              </w:rPr>
              <w:t>Sutarties įvykdymo užtikrinimo dokumento galiojimo terminas</w:t>
            </w:r>
          </w:p>
        </w:tc>
        <w:tc>
          <w:tcPr>
            <w:tcW w:w="7223" w:type="dxa"/>
            <w:vAlign w:val="center"/>
          </w:tcPr>
          <w:p w14:paraId="3301777E"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Ne mažiau kaip 30 dienų ilgesnis nei prekių pristatymo (paslaugų teikimo/darbų atlikimo) terminas su visais sutartyje numatytais galimais pratęsimais ir kol tiekėjas (pardavėjas/rangovas) visiškai įvykdo sutartinius įsipareigojimus.</w:t>
            </w:r>
          </w:p>
        </w:tc>
      </w:tr>
      <w:tr w:rsidR="00DD4972" w:rsidRPr="00DD4972" w14:paraId="7D64D42A" w14:textId="77777777" w:rsidTr="006076CC">
        <w:trPr>
          <w:jc w:val="center"/>
        </w:trPr>
        <w:tc>
          <w:tcPr>
            <w:tcW w:w="2694" w:type="dxa"/>
            <w:vAlign w:val="center"/>
          </w:tcPr>
          <w:p w14:paraId="13946C0C"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b/>
                <w:bCs/>
                <w:kern w:val="0"/>
                <w:sz w:val="20"/>
                <w:szCs w:val="20"/>
                <w:lang w:val="lt-LT"/>
                <w14:ligatures w14:val="none"/>
              </w:rPr>
              <w:t>4.</w:t>
            </w:r>
            <w:r w:rsidRPr="00DD4972">
              <w:rPr>
                <w:rFonts w:ascii="Archivo Light" w:eastAsia="Calibri" w:hAnsi="Archivo Light" w:cs="Archivo Light"/>
                <w:kern w:val="0"/>
                <w:sz w:val="20"/>
                <w:szCs w:val="20"/>
                <w:lang w:val="lt-LT"/>
                <w14:ligatures w14:val="none"/>
              </w:rPr>
              <w:t xml:space="preserve"> </w:t>
            </w:r>
            <w:r w:rsidRPr="00DD4972">
              <w:rPr>
                <w:rFonts w:ascii="Archivo Light" w:eastAsia="Calibri" w:hAnsi="Archivo Light" w:cs="Archivo Light"/>
                <w:b/>
                <w:kern w:val="0"/>
                <w:sz w:val="20"/>
                <w:szCs w:val="20"/>
                <w:lang w:val="lt-LT"/>
                <w14:ligatures w14:val="none"/>
              </w:rPr>
              <w:t>Sutarties įvykdymo užtikrinimo dokumento galiojimo termino pratęsimas</w:t>
            </w:r>
          </w:p>
          <w:p w14:paraId="4001D72F"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p>
        </w:tc>
        <w:tc>
          <w:tcPr>
            <w:tcW w:w="7223" w:type="dxa"/>
            <w:vAlign w:val="center"/>
          </w:tcPr>
          <w:p w14:paraId="21A90336"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Prekių pristatymo (paslaugų suteikimo/darbų atlikimo) termino pratęsimo atveju, sutarties įvykdymo užtikrinimo dokumento galiojimo terminas turi būti pratęstas tokiam terminui, kiek pratęsiamas prekių pristatymo (paslaugų suteikimo ar darbų atlikimo) terminas ir papildomam 30 dienų terminui jeigu sutarties įvykdymo užtikrinimo dokumento galiojimo terminas neapima pratęsto prekių pristatymo (paslaugų teikimo/darbų atlikimo) termino ir papildomas 30 dienų (žr. 3 p.).</w:t>
            </w:r>
          </w:p>
          <w:p w14:paraId="6BECFFFD"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Jeigu prekių pristatymo (paslaugų teikimo/darbų atlikimo) terminas negali būti pratęstas (pvz. yra pasibaigęs), sutarties įvykdymo užtikrinimo dokumento galiojimo terminas turi būti pratęstas tokiam laikotarpiui, per kurį pardavėjas (tiekėjas, rangovas) planuoja pristatyti prekes (suteikti paslaugas ar atlikti darbus) ir papildomam 30 dienų terminui.</w:t>
            </w:r>
          </w:p>
          <w:p w14:paraId="7E2570C9"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Nepratęsus sutarties įvykdymo užtikrinimo dokumento galiojimo termino, KVJUD turi teisę sustabdyti mokėjimus pagal sutartį.</w:t>
            </w:r>
          </w:p>
        </w:tc>
      </w:tr>
      <w:tr w:rsidR="00DD4972" w:rsidRPr="00DD4972" w14:paraId="01E6102D" w14:textId="77777777" w:rsidTr="006076CC">
        <w:trPr>
          <w:jc w:val="center"/>
        </w:trPr>
        <w:tc>
          <w:tcPr>
            <w:tcW w:w="2694" w:type="dxa"/>
            <w:vAlign w:val="center"/>
          </w:tcPr>
          <w:p w14:paraId="202C46EC"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5. </w:t>
            </w:r>
            <w:r w:rsidRPr="00DD4972">
              <w:rPr>
                <w:rFonts w:ascii="Archivo Light" w:eastAsia="Calibri" w:hAnsi="Archivo Light" w:cs="Archivo Light"/>
                <w:b/>
                <w:kern w:val="0"/>
                <w:sz w:val="20"/>
                <w:szCs w:val="20"/>
                <w:lang w:val="lt-LT"/>
                <w14:ligatures w14:val="none"/>
              </w:rPr>
              <w:t>Sutarties įvykdymo užtikrinimo dokumento pateikimo arba užstato sumokėjimo į KVJUD sąskaitą terminas</w:t>
            </w:r>
          </w:p>
        </w:tc>
        <w:tc>
          <w:tcPr>
            <w:tcW w:w="7223" w:type="dxa"/>
            <w:vAlign w:val="center"/>
          </w:tcPr>
          <w:p w14:paraId="5DA9825B"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 Ne vėliau kaip per 10 darbo dienų po sutarties pasirašymo. </w:t>
            </w:r>
          </w:p>
          <w:p w14:paraId="4AFAC6DB"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Kai perskaičiuojama pradinė sutarties vertė – ne vėliau kaip per 10 darbo dienų nuo susitarimo perskaičiuoti sutarties vertę sudarymo dienos.</w:t>
            </w:r>
          </w:p>
          <w:p w14:paraId="11ABABAF"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Kai pratęsiamas sutarties įvykdymo užtikrinimo dokumento galiojimo terminas, ne vėliau kaip likus 10 darbo dienų iki pateikto sutarties įvykdymo užtikrinimo dokumento galiojimo termino pabaigos.</w:t>
            </w:r>
          </w:p>
        </w:tc>
      </w:tr>
      <w:tr w:rsidR="00DD4972" w:rsidRPr="00DD4972" w14:paraId="12ADAD65" w14:textId="77777777" w:rsidTr="006076CC">
        <w:trPr>
          <w:jc w:val="center"/>
        </w:trPr>
        <w:tc>
          <w:tcPr>
            <w:tcW w:w="2694" w:type="dxa"/>
            <w:vAlign w:val="center"/>
          </w:tcPr>
          <w:p w14:paraId="72073947"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6. </w:t>
            </w:r>
            <w:r w:rsidRPr="00DD4972">
              <w:rPr>
                <w:rFonts w:ascii="Archivo Light" w:eastAsia="Calibri" w:hAnsi="Archivo Light" w:cs="Archivo Light"/>
                <w:b/>
                <w:kern w:val="0"/>
                <w:sz w:val="20"/>
                <w:szCs w:val="20"/>
                <w:lang w:val="lt-LT"/>
                <w14:ligatures w14:val="none"/>
              </w:rPr>
              <w:t>Sutarties įvykdymo užtikrinimo dokumento turinys (apimtis)</w:t>
            </w:r>
          </w:p>
        </w:tc>
        <w:tc>
          <w:tcPr>
            <w:tcW w:w="7223" w:type="dxa"/>
            <w:vAlign w:val="center"/>
          </w:tcPr>
          <w:p w14:paraId="1A2D5C13"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Dokumente turi būti nurodoma, kad:</w:t>
            </w:r>
          </w:p>
          <w:p w14:paraId="5931F215"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1. jis yra neatšaukiamas, besąlyginis ir pirmo pareikalavimo; </w:t>
            </w:r>
          </w:p>
          <w:p w14:paraId="6C20FDC5"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2. jis galioja visiems teikėjo (pardavėjo, rangovo) įsipareigojimams pagal sutartį;</w:t>
            </w:r>
          </w:p>
          <w:p w14:paraId="48B46F38"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3. jis apima baudas, delspinigius, palūkanas ar kitas pagrįstai pagal sutartį iš tiekėjo (pardavėjo, rangovo) reikalaujamas sumas;</w:t>
            </w:r>
          </w:p>
          <w:p w14:paraId="4D1B8C89"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4. užtikrinimo suma turės būti išmokama KVJUD ne vėliau kaip per 15 kalendorinių dienų nuo pirmo raštiško KVJUD pranešimo dokumentą išdavusiam subjektui pateikimo, kuriame nurodoma reikalaujama suma;</w:t>
            </w:r>
          </w:p>
          <w:p w14:paraId="34EB51C4"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5. dokumente negali būti nustatyta kitų reikalaujamos sumos išmokėjimo KVJUD sąlygų;</w:t>
            </w:r>
          </w:p>
          <w:p w14:paraId="42AC988E"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6. taikoma LR teisė ir ginčai sprendžiami LR teismuose;</w:t>
            </w:r>
          </w:p>
          <w:p w14:paraId="72655CF2"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7. sutarties įvykdymo užtikrinimą išdavusio subjekto taisyklės taikomos tiek kiek jos neprieštarauja sutarties ir pirkimo dokumentų sąlygoms;</w:t>
            </w:r>
          </w:p>
          <w:p w14:paraId="35AB9631" w14:textId="77777777" w:rsidR="00DD4972" w:rsidRPr="00DD4972" w:rsidRDefault="00DD4972" w:rsidP="00DD4972">
            <w:pPr>
              <w:spacing w:after="0" w:line="240" w:lineRule="auto"/>
              <w:jc w:val="both"/>
              <w:rPr>
                <w:rFonts w:ascii="Archivo Light" w:eastAsia="Calibri" w:hAnsi="Archivo Light" w:cs="Archivo Light"/>
                <w:kern w:val="0"/>
                <w:sz w:val="20"/>
                <w:szCs w:val="20"/>
                <w:lang w:val="lt-LT"/>
                <w14:ligatures w14:val="none"/>
              </w:rPr>
            </w:pPr>
            <w:r w:rsidRPr="00DD4972">
              <w:rPr>
                <w:rFonts w:ascii="Archivo Light" w:eastAsia="Calibri" w:hAnsi="Archivo Light" w:cs="Archivo Light"/>
                <w:kern w:val="0"/>
                <w:sz w:val="20"/>
                <w:szCs w:val="20"/>
                <w:lang w:val="lt-LT"/>
                <w14:ligatures w14:val="none"/>
              </w:rPr>
              <w:t xml:space="preserve">8. kai sutarties įvykdymas užtikrinamas draudimo bendrovės laidavimo raštu – kartu su užtikrinimo dokumentu turi būti pateikiama jo apmokėjimą įrodančio dokumento kopija ir pasirašytas draudimo liudijimas (polisas) (jei taikoma).  </w:t>
            </w:r>
          </w:p>
        </w:tc>
      </w:tr>
    </w:tbl>
    <w:p w14:paraId="5804B5D2" w14:textId="76D7865F" w:rsidR="005F4D5D" w:rsidRDefault="005F4D5D"/>
    <w:sectPr w:rsidR="005F4D5D">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090"/>
    <w:rsid w:val="005F4D5D"/>
    <w:rsid w:val="006001B9"/>
    <w:rsid w:val="00AE32B4"/>
    <w:rsid w:val="00BF3090"/>
    <w:rsid w:val="00DD4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60FF"/>
  <w15:chartTrackingRefBased/>
  <w15:docId w15:val="{5C57BAC0-429B-418D-ABFD-B1FE3FE75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30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30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30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30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30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30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30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30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30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0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30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30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30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30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30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30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30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3090"/>
    <w:rPr>
      <w:rFonts w:eastAsiaTheme="majorEastAsia" w:cstheme="majorBidi"/>
      <w:color w:val="272727" w:themeColor="text1" w:themeTint="D8"/>
    </w:rPr>
  </w:style>
  <w:style w:type="paragraph" w:styleId="Title">
    <w:name w:val="Title"/>
    <w:basedOn w:val="Normal"/>
    <w:next w:val="Normal"/>
    <w:link w:val="TitleChar"/>
    <w:uiPriority w:val="10"/>
    <w:qFormat/>
    <w:rsid w:val="00BF30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0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30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30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3090"/>
    <w:pPr>
      <w:spacing w:before="160"/>
      <w:jc w:val="center"/>
    </w:pPr>
    <w:rPr>
      <w:i/>
      <w:iCs/>
      <w:color w:val="404040" w:themeColor="text1" w:themeTint="BF"/>
    </w:rPr>
  </w:style>
  <w:style w:type="character" w:customStyle="1" w:styleId="QuoteChar">
    <w:name w:val="Quote Char"/>
    <w:basedOn w:val="DefaultParagraphFont"/>
    <w:link w:val="Quote"/>
    <w:uiPriority w:val="29"/>
    <w:rsid w:val="00BF3090"/>
    <w:rPr>
      <w:i/>
      <w:iCs/>
      <w:color w:val="404040" w:themeColor="text1" w:themeTint="BF"/>
    </w:rPr>
  </w:style>
  <w:style w:type="paragraph" w:styleId="ListParagraph">
    <w:name w:val="List Paragraph"/>
    <w:basedOn w:val="Normal"/>
    <w:uiPriority w:val="34"/>
    <w:qFormat/>
    <w:rsid w:val="00BF3090"/>
    <w:pPr>
      <w:ind w:left="720"/>
      <w:contextualSpacing/>
    </w:pPr>
  </w:style>
  <w:style w:type="character" w:styleId="IntenseEmphasis">
    <w:name w:val="Intense Emphasis"/>
    <w:basedOn w:val="DefaultParagraphFont"/>
    <w:uiPriority w:val="21"/>
    <w:qFormat/>
    <w:rsid w:val="00BF3090"/>
    <w:rPr>
      <w:i/>
      <w:iCs/>
      <w:color w:val="0F4761" w:themeColor="accent1" w:themeShade="BF"/>
    </w:rPr>
  </w:style>
  <w:style w:type="paragraph" w:styleId="IntenseQuote">
    <w:name w:val="Intense Quote"/>
    <w:basedOn w:val="Normal"/>
    <w:next w:val="Normal"/>
    <w:link w:val="IntenseQuoteChar"/>
    <w:uiPriority w:val="30"/>
    <w:qFormat/>
    <w:rsid w:val="00BF30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3090"/>
    <w:rPr>
      <w:i/>
      <w:iCs/>
      <w:color w:val="0F4761" w:themeColor="accent1" w:themeShade="BF"/>
    </w:rPr>
  </w:style>
  <w:style w:type="character" w:styleId="IntenseReference">
    <w:name w:val="Intense Reference"/>
    <w:basedOn w:val="DefaultParagraphFont"/>
    <w:uiPriority w:val="32"/>
    <w:qFormat/>
    <w:rsid w:val="00BF309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588</Words>
  <Characters>3352</Characters>
  <Application>Microsoft Office Word</Application>
  <DocSecurity>0</DocSecurity>
  <Lines>27</Lines>
  <Paragraphs>7</Paragraphs>
  <ScaleCrop>false</ScaleCrop>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2</cp:revision>
  <dcterms:created xsi:type="dcterms:W3CDTF">2026-08-07T12:33:00Z</dcterms:created>
  <dcterms:modified xsi:type="dcterms:W3CDTF">2026-08-07T12:33:00Z</dcterms:modified>
</cp:coreProperties>
</file>